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5E0DE5">
        <w:rPr>
          <w:rFonts w:ascii="宋体" w:hAnsi="宋体" w:hint="eastAsia"/>
          <w:color w:val="FF0000"/>
          <w:sz w:val="36"/>
          <w:szCs w:val="30"/>
        </w:rPr>
        <w:t>8</w:t>
      </w:r>
      <w:r w:rsidR="00862DD3">
        <w:rPr>
          <w:rFonts w:ascii="宋体" w:hAnsi="宋体" w:hint="eastAsia"/>
          <w:color w:val="FF0000"/>
          <w:sz w:val="36"/>
          <w:szCs w:val="30"/>
        </w:rPr>
        <w:t>4</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862DD3" w:rsidRPr="00862DD3">
        <w:rPr>
          <w:rFonts w:hint="eastAsia"/>
          <w:color w:val="FF0000"/>
          <w:sz w:val="36"/>
          <w:szCs w:val="36"/>
        </w:rPr>
        <w:t>动脉硬化检测仪</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E0DE5">
        <w:rPr>
          <w:rFonts w:ascii="宋体" w:hAnsi="宋体" w:hint="eastAsia"/>
          <w:sz w:val="48"/>
          <w:szCs w:val="32"/>
        </w:rPr>
        <w:t>九</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141031" w:rsidP="001E0411">
      <w:pPr>
        <w:pStyle w:val="10"/>
        <w:tabs>
          <w:tab w:val="right" w:leader="dot" w:pos="8306"/>
        </w:tabs>
        <w:spacing w:line="480" w:lineRule="auto"/>
        <w:rPr>
          <w:rFonts w:ascii="宋体" w:hAnsi="宋体"/>
          <w:szCs w:val="22"/>
          <w:lang w:eastAsia="en-US" w:bidi="en-US"/>
        </w:rPr>
      </w:pPr>
      <w:r w:rsidRPr="00141031">
        <w:rPr>
          <w:rFonts w:ascii="宋体" w:hAnsi="宋体" w:hint="eastAsia"/>
        </w:rPr>
        <w:fldChar w:fldCharType="begin"/>
      </w:r>
      <w:r w:rsidR="001E0411" w:rsidRPr="009318B0">
        <w:rPr>
          <w:rFonts w:ascii="宋体" w:hAnsi="宋体" w:hint="eastAsia"/>
        </w:rPr>
        <w:instrText xml:space="preserve">TOC \o "1-2" \h \u </w:instrText>
      </w:r>
      <w:r w:rsidRPr="00141031">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141031"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141031"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141031"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141031"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141031"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141031"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862DD3" w:rsidRPr="00862DD3">
        <w:rPr>
          <w:rFonts w:hint="eastAsia"/>
          <w:color w:val="FF0000"/>
          <w:sz w:val="36"/>
          <w:szCs w:val="36"/>
        </w:rPr>
        <w:t>动脉硬化检测仪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862DD3" w:rsidP="006E3498">
            <w:pPr>
              <w:widowControl/>
              <w:jc w:val="center"/>
              <w:rPr>
                <w:color w:val="FF0000"/>
                <w:sz w:val="36"/>
                <w:szCs w:val="36"/>
              </w:rPr>
            </w:pPr>
            <w:r w:rsidRPr="00862DD3">
              <w:rPr>
                <w:rFonts w:hint="eastAsia"/>
                <w:color w:val="FF0000"/>
                <w:sz w:val="36"/>
                <w:szCs w:val="36"/>
              </w:rPr>
              <w:t>动脉硬化检测仪</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B23575" w:rsidP="00862DD3">
            <w:pPr>
              <w:widowControl/>
              <w:jc w:val="center"/>
              <w:rPr>
                <w:rFonts w:ascii="宋体" w:hAnsi="宋体" w:cs="宋体"/>
                <w:color w:val="FF0000"/>
                <w:kern w:val="0"/>
                <w:szCs w:val="21"/>
              </w:rPr>
            </w:pPr>
            <w:r>
              <w:rPr>
                <w:rFonts w:ascii="宋体" w:hAnsi="宋体" w:cs="宋体" w:hint="eastAsia"/>
                <w:color w:val="FF0000"/>
                <w:kern w:val="0"/>
                <w:szCs w:val="21"/>
              </w:rPr>
              <w:t>1</w:t>
            </w:r>
            <w:r w:rsidR="00862DD3">
              <w:rPr>
                <w:rFonts w:ascii="宋体" w:hAnsi="宋体" w:cs="宋体" w:hint="eastAsia"/>
                <w:color w:val="FF0000"/>
                <w:kern w:val="0"/>
                <w:szCs w:val="21"/>
              </w:rPr>
              <w:t>0</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E0DE5"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5E0DE5">
        <w:rPr>
          <w:rFonts w:ascii="宋体" w:hAnsi="宋体" w:hint="eastAsia"/>
          <w:color w:val="FF0000"/>
          <w:sz w:val="24"/>
        </w:rPr>
        <w:t>9</w:t>
      </w:r>
      <w:r w:rsidRPr="009318B0">
        <w:rPr>
          <w:rFonts w:ascii="宋体" w:hAnsi="宋体" w:hint="eastAsia"/>
          <w:color w:val="FF0000"/>
          <w:sz w:val="24"/>
        </w:rPr>
        <w:t xml:space="preserve">月 </w:t>
      </w:r>
      <w:r w:rsidR="0070105E">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5E0DE5">
        <w:rPr>
          <w:rFonts w:ascii="宋体" w:hAnsi="宋体" w:hint="eastAsia"/>
          <w:b/>
          <w:color w:val="FF0000"/>
          <w:sz w:val="24"/>
        </w:rPr>
        <w:t>9</w:t>
      </w:r>
      <w:r w:rsidRPr="009318B0">
        <w:rPr>
          <w:rFonts w:ascii="宋体" w:hAnsi="宋体" w:hint="eastAsia"/>
          <w:b/>
          <w:color w:val="FF0000"/>
          <w:sz w:val="24"/>
        </w:rPr>
        <w:t xml:space="preserve">　月　</w:t>
      </w:r>
      <w:r w:rsidR="0070105E">
        <w:rPr>
          <w:rFonts w:ascii="宋体" w:hAnsi="宋体" w:hint="eastAsia"/>
          <w:b/>
          <w:color w:val="FF0000"/>
          <w:sz w:val="24"/>
        </w:rPr>
        <w:t>2</w:t>
      </w:r>
      <w:r w:rsidR="00252879">
        <w:rPr>
          <w:rFonts w:ascii="宋体" w:hAnsi="宋体" w:hint="eastAsia"/>
          <w:b/>
          <w:color w:val="FF0000"/>
          <w:sz w:val="24"/>
        </w:rPr>
        <w:t>2</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5E0DE5">
        <w:rPr>
          <w:rFonts w:ascii="宋体" w:hAnsi="宋体" w:hint="eastAsia"/>
          <w:b/>
          <w:color w:val="FF0000"/>
          <w:sz w:val="24"/>
        </w:rPr>
        <w:t>9</w:t>
      </w:r>
      <w:r w:rsidRPr="009318B0">
        <w:rPr>
          <w:rFonts w:ascii="宋体" w:hAnsi="宋体" w:hint="eastAsia"/>
          <w:b/>
          <w:color w:val="FF0000"/>
          <w:sz w:val="24"/>
        </w:rPr>
        <w:t xml:space="preserve">　月　</w:t>
      </w:r>
      <w:r w:rsidR="0070105E">
        <w:rPr>
          <w:rFonts w:ascii="宋体" w:hAnsi="宋体" w:hint="eastAsia"/>
          <w:b/>
          <w:color w:val="FF0000"/>
          <w:sz w:val="24"/>
        </w:rPr>
        <w:t>26</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862DD3" w:rsidRPr="00862DD3" w:rsidRDefault="00862DD3" w:rsidP="00862DD3">
      <w:pPr>
        <w:widowControl/>
        <w:jc w:val="left"/>
        <w:rPr>
          <w:rFonts w:ascii="宋体" w:hAnsi="宋体" w:cs="宋体"/>
          <w:color w:val="FF0000"/>
          <w:kern w:val="0"/>
          <w:sz w:val="24"/>
        </w:rPr>
      </w:pPr>
      <w:r w:rsidRPr="00862DD3">
        <w:rPr>
          <w:rFonts w:ascii="宋体" w:hAnsi="宋体" w:cs="宋体"/>
          <w:color w:val="FF0000"/>
          <w:kern w:val="0"/>
          <w:sz w:val="24"/>
        </w:rPr>
        <w:t>动脉硬化检测仪</w:t>
      </w:r>
      <w:r>
        <w:rPr>
          <w:rFonts w:ascii="宋体" w:hAnsi="宋体" w:cs="宋体" w:hint="eastAsia"/>
          <w:color w:val="FF0000"/>
          <w:kern w:val="0"/>
          <w:sz w:val="24"/>
        </w:rPr>
        <w:t>：</w:t>
      </w:r>
      <w:r w:rsidRPr="00862DD3">
        <w:rPr>
          <w:rFonts w:ascii="宋体" w:hAnsi="宋体" w:cs="宋体"/>
          <w:color w:val="FF0000"/>
          <w:kern w:val="0"/>
          <w:sz w:val="24"/>
        </w:rPr>
        <w:br/>
        <w:t xml:space="preserve">名称 </w:t>
      </w:r>
      <w:r>
        <w:rPr>
          <w:rFonts w:ascii="宋体" w:hAnsi="宋体" w:cs="宋体" w:hint="eastAsia"/>
          <w:color w:val="FF0000"/>
          <w:kern w:val="0"/>
          <w:sz w:val="24"/>
        </w:rPr>
        <w:t xml:space="preserve">             </w:t>
      </w:r>
      <w:r w:rsidRPr="00862DD3">
        <w:rPr>
          <w:rFonts w:ascii="宋体" w:hAnsi="宋体" w:cs="宋体"/>
          <w:color w:val="FF0000"/>
          <w:kern w:val="0"/>
          <w:sz w:val="24"/>
        </w:rPr>
        <w:t xml:space="preserve">参数 </w:t>
      </w:r>
      <w:r>
        <w:rPr>
          <w:rFonts w:ascii="宋体" w:hAnsi="宋体" w:cs="宋体" w:hint="eastAsia"/>
          <w:color w:val="FF0000"/>
          <w:kern w:val="0"/>
          <w:sz w:val="24"/>
        </w:rPr>
        <w:t xml:space="preserve">                                  </w:t>
      </w:r>
      <w:r w:rsidRPr="00862DD3">
        <w:rPr>
          <w:rFonts w:ascii="宋体" w:hAnsi="宋体" w:cs="宋体"/>
          <w:color w:val="FF0000"/>
          <w:kern w:val="0"/>
          <w:sz w:val="24"/>
        </w:rPr>
        <w:t>备注</w:t>
      </w:r>
      <w:r w:rsidRPr="00862DD3">
        <w:rPr>
          <w:rFonts w:ascii="宋体" w:hAnsi="宋体" w:cs="宋体"/>
          <w:color w:val="FF0000"/>
          <w:kern w:val="0"/>
          <w:sz w:val="24"/>
        </w:rPr>
        <w:br/>
        <w:t xml:space="preserve">功能指标 ★压力传感器范围和精度 0mmHg～300mmHg，精度&lt;±3mmHg </w:t>
      </w:r>
      <w:r w:rsidRPr="00862DD3">
        <w:rPr>
          <w:rFonts w:ascii="宋体" w:hAnsi="宋体" w:cs="宋体"/>
          <w:color w:val="FF0000"/>
          <w:kern w:val="0"/>
          <w:sz w:val="24"/>
        </w:rPr>
        <w:br/>
        <w:t>四肢SYS</w:t>
      </w:r>
      <w:r w:rsidRPr="00862DD3">
        <w:rPr>
          <w:rFonts w:ascii="宋体" w:hAnsi="宋体" w:cs="宋体"/>
          <w:color w:val="FF0000"/>
          <w:kern w:val="0"/>
          <w:sz w:val="24"/>
        </w:rPr>
        <w:br/>
        <w:t>（收缩压） 检测范围：50mmHg～260mmHg</w:t>
      </w:r>
      <w:r w:rsidRPr="00862DD3">
        <w:rPr>
          <w:rFonts w:ascii="宋体" w:hAnsi="宋体" w:cs="宋体"/>
          <w:color w:val="FF0000"/>
          <w:kern w:val="0"/>
          <w:sz w:val="24"/>
        </w:rPr>
        <w:br/>
        <w:t xml:space="preserve">精度±3mmHg </w:t>
      </w:r>
      <w:r w:rsidRPr="00862DD3">
        <w:rPr>
          <w:rFonts w:ascii="宋体" w:hAnsi="宋体" w:cs="宋体"/>
          <w:color w:val="FF0000"/>
          <w:kern w:val="0"/>
          <w:sz w:val="24"/>
        </w:rPr>
        <w:br/>
        <w:t>四肢DIA</w:t>
      </w:r>
      <w:r w:rsidRPr="00862DD3">
        <w:rPr>
          <w:rFonts w:ascii="宋体" w:hAnsi="宋体" w:cs="宋体"/>
          <w:color w:val="FF0000"/>
          <w:kern w:val="0"/>
          <w:sz w:val="24"/>
        </w:rPr>
        <w:br/>
        <w:t xml:space="preserve">（舒张压） 检测范围：30mmHg～230mmHg(0Kpa～32Kpa) </w:t>
      </w:r>
      <w:r w:rsidRPr="00862DD3">
        <w:rPr>
          <w:rFonts w:ascii="宋体" w:hAnsi="宋体" w:cs="宋体"/>
          <w:color w:val="FF0000"/>
          <w:kern w:val="0"/>
          <w:sz w:val="24"/>
        </w:rPr>
        <w:br/>
        <w:t>四肢MAP</w:t>
      </w:r>
      <w:r w:rsidRPr="00862DD3">
        <w:rPr>
          <w:rFonts w:ascii="宋体" w:hAnsi="宋体" w:cs="宋体"/>
          <w:color w:val="FF0000"/>
          <w:kern w:val="0"/>
          <w:sz w:val="24"/>
        </w:rPr>
        <w:br/>
        <w:t xml:space="preserve">（平均压） 检测范围：50mmHg～260mmHg(0Kpa～32Kpa) </w:t>
      </w:r>
      <w:r w:rsidRPr="00862DD3">
        <w:rPr>
          <w:rFonts w:ascii="宋体" w:hAnsi="宋体" w:cs="宋体"/>
          <w:color w:val="FF0000"/>
          <w:kern w:val="0"/>
          <w:sz w:val="24"/>
        </w:rPr>
        <w:br/>
        <w:t>四肢PP</w:t>
      </w:r>
      <w:r w:rsidRPr="00862DD3">
        <w:rPr>
          <w:rFonts w:ascii="宋体" w:hAnsi="宋体" w:cs="宋体"/>
          <w:color w:val="FF0000"/>
          <w:kern w:val="0"/>
          <w:sz w:val="24"/>
        </w:rPr>
        <w:br/>
        <w:t xml:space="preserve">（脉压） 检测范围：50mmHg～260mmHg(0Kpa～32Kpa) </w:t>
      </w:r>
      <w:r w:rsidRPr="00862DD3">
        <w:rPr>
          <w:rFonts w:ascii="宋体" w:hAnsi="宋体" w:cs="宋体"/>
          <w:color w:val="FF0000"/>
          <w:kern w:val="0"/>
          <w:sz w:val="24"/>
        </w:rPr>
        <w:br/>
        <w:t xml:space="preserve">★BaPWV（臂—踝脉搏波传播速度） 检测范围：0cm/s～2600 cm/s </w:t>
      </w:r>
      <w:r w:rsidRPr="00862DD3">
        <w:rPr>
          <w:rFonts w:ascii="宋体" w:hAnsi="宋体" w:cs="宋体"/>
          <w:color w:val="FF0000"/>
          <w:kern w:val="0"/>
          <w:sz w:val="24"/>
        </w:rPr>
        <w:br/>
        <w:t xml:space="preserve">hbPWV（心脏—上臂脉搏波传播速度） 检测范围：0cm/s～1000 cm/s </w:t>
      </w:r>
      <w:r w:rsidRPr="00862DD3">
        <w:rPr>
          <w:rFonts w:ascii="宋体" w:hAnsi="宋体" w:cs="宋体"/>
          <w:color w:val="FF0000"/>
          <w:kern w:val="0"/>
          <w:sz w:val="24"/>
        </w:rPr>
        <w:br/>
        <w:t xml:space="preserve">haPWV（心脏—踝臂脉搏波传播速度） 检测范围：0cm/s～2000 cm/s </w:t>
      </w:r>
      <w:r w:rsidRPr="00862DD3">
        <w:rPr>
          <w:rFonts w:ascii="宋体" w:hAnsi="宋体" w:cs="宋体"/>
          <w:color w:val="FF0000"/>
          <w:kern w:val="0"/>
          <w:sz w:val="24"/>
        </w:rPr>
        <w:br/>
        <w:t xml:space="preserve">★ABI（踝臂指数） 检测范围：0～3 </w:t>
      </w:r>
      <w:r w:rsidRPr="00862DD3">
        <w:rPr>
          <w:rFonts w:ascii="宋体" w:hAnsi="宋体" w:cs="宋体"/>
          <w:color w:val="FF0000"/>
          <w:kern w:val="0"/>
          <w:sz w:val="24"/>
        </w:rPr>
        <w:br/>
        <w:t xml:space="preserve">BA(血管年龄) 根据血管的硬化度评判血管的年龄 </w:t>
      </w:r>
      <w:r w:rsidRPr="00862DD3">
        <w:rPr>
          <w:rFonts w:ascii="宋体" w:hAnsi="宋体" w:cs="宋体"/>
          <w:color w:val="FF0000"/>
          <w:kern w:val="0"/>
          <w:sz w:val="24"/>
        </w:rPr>
        <w:br/>
        <w:t xml:space="preserve">BMI（体重指数） 检测范围：0～50 </w:t>
      </w:r>
      <w:r w:rsidRPr="00862DD3">
        <w:rPr>
          <w:rFonts w:ascii="宋体" w:hAnsi="宋体" w:cs="宋体"/>
          <w:color w:val="FF0000"/>
          <w:kern w:val="0"/>
          <w:sz w:val="24"/>
        </w:rPr>
        <w:br/>
        <w:t xml:space="preserve">ECG（心电波形） 可自动调整标尺 </w:t>
      </w:r>
      <w:r w:rsidRPr="00862DD3">
        <w:rPr>
          <w:rFonts w:ascii="宋体" w:hAnsi="宋体" w:cs="宋体"/>
          <w:color w:val="FF0000"/>
          <w:kern w:val="0"/>
          <w:sz w:val="24"/>
        </w:rPr>
        <w:br/>
        <w:t xml:space="preserve">运动后模式 可对运动前后的数据进行对比 </w:t>
      </w:r>
      <w:r w:rsidRPr="00862DD3">
        <w:rPr>
          <w:rFonts w:ascii="宋体" w:hAnsi="宋体" w:cs="宋体"/>
          <w:color w:val="FF0000"/>
          <w:kern w:val="0"/>
          <w:sz w:val="24"/>
        </w:rPr>
        <w:br/>
        <w:t>测量技术 ★检测方法 示波法、PWV法，支持每个心率节拍的波型分析</w:t>
      </w:r>
      <w:r w:rsidRPr="00862DD3">
        <w:rPr>
          <w:rFonts w:ascii="宋体" w:hAnsi="宋体" w:cs="宋体"/>
          <w:color w:val="FF0000"/>
          <w:kern w:val="0"/>
          <w:sz w:val="24"/>
        </w:rPr>
        <w:br/>
        <w:t xml:space="preserve">四肢血压、心电同步测量技术 </w:t>
      </w:r>
      <w:r w:rsidRPr="00862DD3">
        <w:rPr>
          <w:rFonts w:ascii="宋体" w:hAnsi="宋体" w:cs="宋体"/>
          <w:color w:val="FF0000"/>
          <w:kern w:val="0"/>
          <w:sz w:val="24"/>
        </w:rPr>
        <w:br/>
        <w:t xml:space="preserve">加压方法 气泵采取智能自动加压，可智能判断充气截止气压 </w:t>
      </w:r>
      <w:r w:rsidRPr="00862DD3">
        <w:rPr>
          <w:rFonts w:ascii="宋体" w:hAnsi="宋体" w:cs="宋体"/>
          <w:color w:val="FF0000"/>
          <w:kern w:val="0"/>
          <w:sz w:val="24"/>
        </w:rPr>
        <w:br/>
        <w:t xml:space="preserve">缓慢减压 自动缓慢减压排气，断电后自动放气 </w:t>
      </w:r>
      <w:r w:rsidRPr="00862DD3">
        <w:rPr>
          <w:rFonts w:ascii="宋体" w:hAnsi="宋体" w:cs="宋体"/>
          <w:color w:val="FF0000"/>
          <w:kern w:val="0"/>
          <w:sz w:val="24"/>
        </w:rPr>
        <w:br/>
        <w:t xml:space="preserve">快速卸压 袖带压力从260mmHg降至15mmHg的时间不超过10s </w:t>
      </w:r>
      <w:r w:rsidRPr="00862DD3">
        <w:rPr>
          <w:rFonts w:ascii="宋体" w:hAnsi="宋体" w:cs="宋体"/>
          <w:color w:val="FF0000"/>
          <w:kern w:val="0"/>
          <w:sz w:val="24"/>
        </w:rPr>
        <w:br/>
        <w:t xml:space="preserve">★心电频率响应 0.5-40Hz（带宽-3dB） </w:t>
      </w:r>
      <w:r w:rsidRPr="00862DD3">
        <w:rPr>
          <w:rFonts w:ascii="宋体" w:hAnsi="宋体" w:cs="宋体"/>
          <w:color w:val="FF0000"/>
          <w:kern w:val="0"/>
          <w:sz w:val="24"/>
        </w:rPr>
        <w:br/>
        <w:t xml:space="preserve">检测时间 ≤3分钟 </w:t>
      </w:r>
      <w:r w:rsidRPr="00862DD3">
        <w:rPr>
          <w:rFonts w:ascii="宋体" w:hAnsi="宋体" w:cs="宋体"/>
          <w:color w:val="FF0000"/>
          <w:kern w:val="0"/>
          <w:sz w:val="24"/>
        </w:rPr>
        <w:br/>
        <w:t xml:space="preserve">测量范围 参考人群数据库范围20～90岁 </w:t>
      </w:r>
      <w:r w:rsidRPr="00862DD3">
        <w:rPr>
          <w:rFonts w:ascii="宋体" w:hAnsi="宋体" w:cs="宋体"/>
          <w:color w:val="FF0000"/>
          <w:kern w:val="0"/>
          <w:sz w:val="24"/>
        </w:rPr>
        <w:br/>
        <w:t xml:space="preserve">应用信息 系统界面 全中文，操作简便，显示直观，减少操作步骤，提高工作效率 </w:t>
      </w:r>
      <w:r w:rsidRPr="00862DD3">
        <w:rPr>
          <w:rFonts w:ascii="宋体" w:hAnsi="宋体" w:cs="宋体"/>
          <w:color w:val="FF0000"/>
          <w:kern w:val="0"/>
          <w:sz w:val="24"/>
        </w:rPr>
        <w:br/>
        <w:t>★操控部分 ≥10.4寸液晶触摸摸屏，可外接鼠标和键盘。</w:t>
      </w:r>
      <w:r w:rsidRPr="00862DD3">
        <w:rPr>
          <w:rFonts w:ascii="宋体" w:hAnsi="宋体" w:cs="宋体"/>
          <w:color w:val="FF0000"/>
          <w:kern w:val="0"/>
          <w:sz w:val="24"/>
        </w:rPr>
        <w:br/>
      </w:r>
      <w:r w:rsidRPr="00862DD3">
        <w:rPr>
          <w:rFonts w:ascii="宋体" w:hAnsi="宋体" w:cs="宋体"/>
          <w:color w:val="FF0000"/>
          <w:kern w:val="0"/>
          <w:sz w:val="24"/>
        </w:rPr>
        <w:br/>
        <w:t xml:space="preserve">查询功能 可按患者的测量时间和编号进行查询，查询到的病例，可实现打印报告、删除、修改、备份等功能 </w:t>
      </w:r>
      <w:r w:rsidRPr="00862DD3">
        <w:rPr>
          <w:rFonts w:ascii="宋体" w:hAnsi="宋体" w:cs="宋体"/>
          <w:color w:val="FF0000"/>
          <w:kern w:val="0"/>
          <w:sz w:val="24"/>
        </w:rPr>
        <w:br/>
        <w:t xml:space="preserve">数据管理 支持Excel格式和Access格式文件导出，便于进行指标统计分析和其他科学研究 </w:t>
      </w:r>
      <w:r w:rsidRPr="00862DD3">
        <w:rPr>
          <w:rFonts w:ascii="宋体" w:hAnsi="宋体" w:cs="宋体"/>
          <w:color w:val="FF0000"/>
          <w:kern w:val="0"/>
          <w:sz w:val="24"/>
        </w:rPr>
        <w:br/>
        <w:t xml:space="preserve">联网功能 可将测量数据上传至局域网中的服务器中，便于数据统计分析和管理 </w:t>
      </w:r>
      <w:r w:rsidRPr="00862DD3">
        <w:rPr>
          <w:rFonts w:ascii="宋体" w:hAnsi="宋体" w:cs="宋体"/>
          <w:color w:val="FF0000"/>
          <w:kern w:val="0"/>
          <w:sz w:val="24"/>
        </w:rPr>
        <w:br/>
        <w:t xml:space="preserve">规格信息 显示部分 大于等于10.4英寸液晶触摸屏 </w:t>
      </w:r>
      <w:r w:rsidRPr="00862DD3">
        <w:rPr>
          <w:rFonts w:ascii="宋体" w:hAnsi="宋体" w:cs="宋体"/>
          <w:color w:val="FF0000"/>
          <w:kern w:val="0"/>
          <w:sz w:val="24"/>
        </w:rPr>
        <w:br/>
        <w:t>输入输出部分 2个USB接口，可外接打印机、鼠标和键盘等,1个串口，1个网络接口</w:t>
      </w:r>
      <w:r w:rsidRPr="00862DD3">
        <w:rPr>
          <w:rFonts w:ascii="宋体" w:hAnsi="宋体" w:cs="宋体"/>
          <w:color w:val="FF0000"/>
          <w:kern w:val="0"/>
          <w:sz w:val="24"/>
        </w:rPr>
        <w:br/>
        <w:t xml:space="preserve">利于数据的共享 </w:t>
      </w:r>
      <w:r w:rsidRPr="00862DD3">
        <w:rPr>
          <w:rFonts w:ascii="宋体" w:hAnsi="宋体" w:cs="宋体"/>
          <w:color w:val="FF0000"/>
          <w:kern w:val="0"/>
          <w:sz w:val="24"/>
        </w:rPr>
        <w:br/>
        <w:t xml:space="preserve">★传感器部件 心电电极导联线1套、臂部袖带2个、踝部袖带2个 </w:t>
      </w:r>
    </w:p>
    <w:p w:rsidR="00862DD3" w:rsidRPr="00862DD3" w:rsidRDefault="00862DD3" w:rsidP="00862DD3">
      <w:pPr>
        <w:rPr>
          <w:color w:val="FF0000"/>
        </w:rPr>
      </w:pPr>
    </w:p>
    <w:p w:rsidR="00482D22" w:rsidRPr="00862DD3" w:rsidRDefault="00482D22" w:rsidP="00482D22">
      <w:pPr>
        <w:rPr>
          <w:color w:val="FF0000"/>
        </w:rPr>
      </w:pPr>
    </w:p>
    <w:p w:rsidR="001E0411" w:rsidRPr="00192ECD" w:rsidRDefault="001E0411" w:rsidP="00482D22">
      <w:pPr>
        <w:pStyle w:val="2"/>
        <w:jc w:val="center"/>
        <w:rPr>
          <w:szCs w:val="30"/>
        </w:rPr>
      </w:pPr>
      <w:bookmarkStart w:id="15" w:name="_Toc417390484"/>
      <w:r w:rsidRPr="00192ECD">
        <w:rPr>
          <w:rFonts w:hint="eastAsia"/>
          <w:sz w:val="36"/>
          <w:szCs w:val="30"/>
        </w:rPr>
        <w:lastRenderedPageBreak/>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9C3" w:rsidRDefault="005D49C3" w:rsidP="004538CF">
      <w:r>
        <w:separator/>
      </w:r>
    </w:p>
  </w:endnote>
  <w:endnote w:type="continuationSeparator" w:id="1">
    <w:p w:rsidR="005D49C3" w:rsidRDefault="005D49C3"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141031">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141031">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252879">
      <w:rPr>
        <w:rStyle w:val="aa"/>
        <w:rFonts w:ascii="宋体"/>
        <w:noProof/>
        <w:sz w:val="21"/>
        <w:szCs w:val="21"/>
      </w:rPr>
      <w:t>- 4 -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141031">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141031">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252879">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141031">
    <w:pPr>
      <w:pStyle w:val="a7"/>
      <w:jc w:val="center"/>
    </w:pPr>
    <w:fldSimple w:instr=" PAGE   \* MERGEFORMAT ">
      <w:r w:rsidR="0070105E" w:rsidRPr="0070105E">
        <w:rPr>
          <w:noProof/>
          <w:lang w:val="zh-CN"/>
        </w:rPr>
        <w:t>17</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9C3" w:rsidRDefault="005D49C3" w:rsidP="004538CF">
      <w:r>
        <w:separator/>
      </w:r>
    </w:p>
  </w:footnote>
  <w:footnote w:type="continuationSeparator" w:id="1">
    <w:p w:rsidR="005D49C3" w:rsidRDefault="005D49C3"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62C8D"/>
    <w:rsid w:val="00074B2A"/>
    <w:rsid w:val="00077232"/>
    <w:rsid w:val="00085B85"/>
    <w:rsid w:val="00097BFE"/>
    <w:rsid w:val="000A4061"/>
    <w:rsid w:val="000C29FC"/>
    <w:rsid w:val="000C3D70"/>
    <w:rsid w:val="000D2C86"/>
    <w:rsid w:val="000F05B0"/>
    <w:rsid w:val="001062FA"/>
    <w:rsid w:val="0012215E"/>
    <w:rsid w:val="0013134D"/>
    <w:rsid w:val="00141031"/>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2879"/>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5C38"/>
    <w:rsid w:val="0049685F"/>
    <w:rsid w:val="004A0666"/>
    <w:rsid w:val="004A4919"/>
    <w:rsid w:val="004C1190"/>
    <w:rsid w:val="004C18E7"/>
    <w:rsid w:val="004D0721"/>
    <w:rsid w:val="004E3A61"/>
    <w:rsid w:val="004E3FEA"/>
    <w:rsid w:val="004F04B9"/>
    <w:rsid w:val="0050279F"/>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48FC"/>
    <w:rsid w:val="005960BE"/>
    <w:rsid w:val="005B19FA"/>
    <w:rsid w:val="005B3BC7"/>
    <w:rsid w:val="005C30DC"/>
    <w:rsid w:val="005D3ED6"/>
    <w:rsid w:val="005D49C3"/>
    <w:rsid w:val="005E0DE5"/>
    <w:rsid w:val="005E5C66"/>
    <w:rsid w:val="005F4E3F"/>
    <w:rsid w:val="006068B1"/>
    <w:rsid w:val="0062684D"/>
    <w:rsid w:val="0065256B"/>
    <w:rsid w:val="00667EE0"/>
    <w:rsid w:val="00670662"/>
    <w:rsid w:val="00670670"/>
    <w:rsid w:val="00670925"/>
    <w:rsid w:val="00671D3E"/>
    <w:rsid w:val="00672A28"/>
    <w:rsid w:val="00672E86"/>
    <w:rsid w:val="00681EA2"/>
    <w:rsid w:val="00686285"/>
    <w:rsid w:val="006960BA"/>
    <w:rsid w:val="006A2EAE"/>
    <w:rsid w:val="006B4345"/>
    <w:rsid w:val="006B54C4"/>
    <w:rsid w:val="006C0B18"/>
    <w:rsid w:val="006C5282"/>
    <w:rsid w:val="006C6506"/>
    <w:rsid w:val="006D73A7"/>
    <w:rsid w:val="006E3498"/>
    <w:rsid w:val="0070105E"/>
    <w:rsid w:val="007076F6"/>
    <w:rsid w:val="0071196D"/>
    <w:rsid w:val="00715BE4"/>
    <w:rsid w:val="00740D9E"/>
    <w:rsid w:val="007513EA"/>
    <w:rsid w:val="00751964"/>
    <w:rsid w:val="00753C3B"/>
    <w:rsid w:val="0076086D"/>
    <w:rsid w:val="00761F2D"/>
    <w:rsid w:val="007678A8"/>
    <w:rsid w:val="00767A64"/>
    <w:rsid w:val="00780AAB"/>
    <w:rsid w:val="007832F8"/>
    <w:rsid w:val="00784CE9"/>
    <w:rsid w:val="00793012"/>
    <w:rsid w:val="00793407"/>
    <w:rsid w:val="007A4927"/>
    <w:rsid w:val="007B3D96"/>
    <w:rsid w:val="007C06A0"/>
    <w:rsid w:val="007C5278"/>
    <w:rsid w:val="007D61D3"/>
    <w:rsid w:val="007F652D"/>
    <w:rsid w:val="0080726D"/>
    <w:rsid w:val="00811F2B"/>
    <w:rsid w:val="00823109"/>
    <w:rsid w:val="008320CB"/>
    <w:rsid w:val="00835EA1"/>
    <w:rsid w:val="0084604B"/>
    <w:rsid w:val="008523B9"/>
    <w:rsid w:val="008571A9"/>
    <w:rsid w:val="00860E84"/>
    <w:rsid w:val="00862DD3"/>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339"/>
    <w:rsid w:val="00967915"/>
    <w:rsid w:val="00976183"/>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21906"/>
    <w:rsid w:val="00A27B8E"/>
    <w:rsid w:val="00A27C56"/>
    <w:rsid w:val="00A45704"/>
    <w:rsid w:val="00A53B2F"/>
    <w:rsid w:val="00A56B18"/>
    <w:rsid w:val="00A77AF5"/>
    <w:rsid w:val="00A956A6"/>
    <w:rsid w:val="00A97782"/>
    <w:rsid w:val="00AA7505"/>
    <w:rsid w:val="00AB0F16"/>
    <w:rsid w:val="00AB3579"/>
    <w:rsid w:val="00AB6013"/>
    <w:rsid w:val="00AD5257"/>
    <w:rsid w:val="00AE26B5"/>
    <w:rsid w:val="00B13616"/>
    <w:rsid w:val="00B14C98"/>
    <w:rsid w:val="00B23575"/>
    <w:rsid w:val="00B3592D"/>
    <w:rsid w:val="00B42AC4"/>
    <w:rsid w:val="00B54278"/>
    <w:rsid w:val="00B624C8"/>
    <w:rsid w:val="00B6673E"/>
    <w:rsid w:val="00B775D4"/>
    <w:rsid w:val="00B823A5"/>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E183D"/>
    <w:rsid w:val="00DE571A"/>
    <w:rsid w:val="00DF63AF"/>
    <w:rsid w:val="00E06EE6"/>
    <w:rsid w:val="00E07CD6"/>
    <w:rsid w:val="00E22005"/>
    <w:rsid w:val="00E259AB"/>
    <w:rsid w:val="00E45AFC"/>
    <w:rsid w:val="00E45F57"/>
    <w:rsid w:val="00E524BE"/>
    <w:rsid w:val="00E574BA"/>
    <w:rsid w:val="00E6737E"/>
    <w:rsid w:val="00E737A7"/>
    <w:rsid w:val="00E8682C"/>
    <w:rsid w:val="00E9059E"/>
    <w:rsid w:val="00E93462"/>
    <w:rsid w:val="00E96B80"/>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E22C4"/>
    <w:rsid w:val="00EE44FF"/>
    <w:rsid w:val="00EE510B"/>
    <w:rsid w:val="00F06131"/>
    <w:rsid w:val="00F063C5"/>
    <w:rsid w:val="00F13900"/>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1490</Words>
  <Characters>8494</Characters>
  <Application>Microsoft Office Word</Application>
  <DocSecurity>0</DocSecurity>
  <Lines>70</Lines>
  <Paragraphs>19</Paragraphs>
  <ScaleCrop>false</ScaleCrop>
  <Company>微软中国</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6</cp:revision>
  <dcterms:created xsi:type="dcterms:W3CDTF">2017-09-06T07:55:00Z</dcterms:created>
  <dcterms:modified xsi:type="dcterms:W3CDTF">2017-09-19T08:52:00Z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